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215" w:rsidRDefault="00873115">
      <w:r w:rsidRPr="00856CF8">
        <w:rPr>
          <w:rFonts w:cs="Times New Roman"/>
          <w:noProof/>
        </w:rPr>
        <w:drawing>
          <wp:inline distT="0" distB="0" distL="0" distR="0" wp14:anchorId="3EBD18C6" wp14:editId="776C4B07">
            <wp:extent cx="5765800" cy="3346450"/>
            <wp:effectExtent l="0" t="0" r="25400" b="25400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bookmarkStart w:id="0" w:name="_GoBack"/>
      <w:bookmarkEnd w:id="0"/>
    </w:p>
    <w:sectPr w:rsidR="00EC621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115"/>
    <w:rsid w:val="000605FB"/>
    <w:rsid w:val="00420D2B"/>
    <w:rsid w:val="0054343A"/>
    <w:rsid w:val="005D45BA"/>
    <w:rsid w:val="00873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731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31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731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31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2010</c:v>
                </c:pt>
              </c:strCache>
            </c:strRef>
          </c:tx>
          <c:invertIfNegative val="0"/>
          <c:cat>
            <c:strRef>
              <c:f>Sheet1!$A$2:$A$13</c:f>
              <c:strCache>
                <c:ptCount val="12"/>
                <c:pt idx="0">
                  <c:v>January</c:v>
                </c:pt>
                <c:pt idx="1">
                  <c:v>February </c:v>
                </c:pt>
                <c:pt idx="2">
                  <c:v>March</c:v>
                </c:pt>
                <c:pt idx="3">
                  <c:v>April</c:v>
                </c:pt>
                <c:pt idx="4">
                  <c:v>May </c:v>
                </c:pt>
                <c:pt idx="5">
                  <c:v>June</c:v>
                </c:pt>
                <c:pt idx="6">
                  <c:v>July</c:v>
                </c:pt>
                <c:pt idx="7">
                  <c:v>August</c:v>
                </c:pt>
                <c:pt idx="8">
                  <c:v>September</c:v>
                </c:pt>
                <c:pt idx="9">
                  <c:v>October</c:v>
                </c:pt>
                <c:pt idx="10">
                  <c:v>November</c:v>
                </c:pt>
                <c:pt idx="11">
                  <c:v>December </c:v>
                </c:pt>
              </c:strCache>
            </c:strRef>
          </c:cat>
          <c:val>
            <c:numRef>
              <c:f>Sheet1!$B$2:$B$13</c:f>
              <c:numCache>
                <c:formatCode>General</c:formatCode>
                <c:ptCount val="12"/>
                <c:pt idx="0">
                  <c:v>904</c:v>
                </c:pt>
                <c:pt idx="1">
                  <c:v>413</c:v>
                </c:pt>
                <c:pt idx="2">
                  <c:v>219</c:v>
                </c:pt>
                <c:pt idx="3">
                  <c:v>275</c:v>
                </c:pt>
                <c:pt idx="4">
                  <c:v>220</c:v>
                </c:pt>
                <c:pt idx="5">
                  <c:v>197</c:v>
                </c:pt>
                <c:pt idx="6">
                  <c:v>191</c:v>
                </c:pt>
                <c:pt idx="7">
                  <c:v>144</c:v>
                </c:pt>
                <c:pt idx="8">
                  <c:v>106</c:v>
                </c:pt>
                <c:pt idx="9">
                  <c:v>179</c:v>
                </c:pt>
                <c:pt idx="10">
                  <c:v>215</c:v>
                </c:pt>
                <c:pt idx="11">
                  <c:v>276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2011</c:v>
                </c:pt>
              </c:strCache>
            </c:strRef>
          </c:tx>
          <c:invertIfNegative val="0"/>
          <c:cat>
            <c:strRef>
              <c:f>Sheet1!$A$2:$A$13</c:f>
              <c:strCache>
                <c:ptCount val="12"/>
                <c:pt idx="0">
                  <c:v>January</c:v>
                </c:pt>
                <c:pt idx="1">
                  <c:v>February </c:v>
                </c:pt>
                <c:pt idx="2">
                  <c:v>March</c:v>
                </c:pt>
                <c:pt idx="3">
                  <c:v>April</c:v>
                </c:pt>
                <c:pt idx="4">
                  <c:v>May </c:v>
                </c:pt>
                <c:pt idx="5">
                  <c:v>June</c:v>
                </c:pt>
                <c:pt idx="6">
                  <c:v>July</c:v>
                </c:pt>
                <c:pt idx="7">
                  <c:v>August</c:v>
                </c:pt>
                <c:pt idx="8">
                  <c:v>September</c:v>
                </c:pt>
                <c:pt idx="9">
                  <c:v>October</c:v>
                </c:pt>
                <c:pt idx="10">
                  <c:v>November</c:v>
                </c:pt>
                <c:pt idx="11">
                  <c:v>December </c:v>
                </c:pt>
              </c:strCache>
            </c:strRef>
          </c:cat>
          <c:val>
            <c:numRef>
              <c:f>Sheet1!$C$2:$C$13</c:f>
              <c:numCache>
                <c:formatCode>General</c:formatCode>
                <c:ptCount val="12"/>
                <c:pt idx="0">
                  <c:v>284</c:v>
                </c:pt>
                <c:pt idx="1">
                  <c:v>214</c:v>
                </c:pt>
                <c:pt idx="2">
                  <c:v>1171</c:v>
                </c:pt>
                <c:pt idx="3">
                  <c:v>176</c:v>
                </c:pt>
                <c:pt idx="4">
                  <c:v>258</c:v>
                </c:pt>
                <c:pt idx="5">
                  <c:v>231</c:v>
                </c:pt>
                <c:pt idx="6">
                  <c:v>248</c:v>
                </c:pt>
                <c:pt idx="7">
                  <c:v>294</c:v>
                </c:pt>
                <c:pt idx="8">
                  <c:v>153</c:v>
                </c:pt>
                <c:pt idx="9">
                  <c:v>256</c:v>
                </c:pt>
                <c:pt idx="10">
                  <c:v>234</c:v>
                </c:pt>
                <c:pt idx="11">
                  <c:v>385</c:v>
                </c:pt>
              </c:numCache>
            </c:numRef>
          </c:val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2012</c:v>
                </c:pt>
              </c:strCache>
            </c:strRef>
          </c:tx>
          <c:invertIfNegative val="0"/>
          <c:cat>
            <c:strRef>
              <c:f>Sheet1!$A$2:$A$13</c:f>
              <c:strCache>
                <c:ptCount val="12"/>
                <c:pt idx="0">
                  <c:v>January</c:v>
                </c:pt>
                <c:pt idx="1">
                  <c:v>February </c:v>
                </c:pt>
                <c:pt idx="2">
                  <c:v>March</c:v>
                </c:pt>
                <c:pt idx="3">
                  <c:v>April</c:v>
                </c:pt>
                <c:pt idx="4">
                  <c:v>May </c:v>
                </c:pt>
                <c:pt idx="5">
                  <c:v>June</c:v>
                </c:pt>
                <c:pt idx="6">
                  <c:v>July</c:v>
                </c:pt>
                <c:pt idx="7">
                  <c:v>August</c:v>
                </c:pt>
                <c:pt idx="8">
                  <c:v>September</c:v>
                </c:pt>
                <c:pt idx="9">
                  <c:v>October</c:v>
                </c:pt>
                <c:pt idx="10">
                  <c:v>November</c:v>
                </c:pt>
                <c:pt idx="11">
                  <c:v>December </c:v>
                </c:pt>
              </c:strCache>
            </c:strRef>
          </c:cat>
          <c:val>
            <c:numRef>
              <c:f>Sheet1!$D$2:$D$13</c:f>
              <c:numCache>
                <c:formatCode>General</c:formatCode>
                <c:ptCount val="12"/>
                <c:pt idx="0">
                  <c:v>320</c:v>
                </c:pt>
                <c:pt idx="1">
                  <c:v>811</c:v>
                </c:pt>
                <c:pt idx="2">
                  <c:v>157</c:v>
                </c:pt>
                <c:pt idx="3">
                  <c:v>313</c:v>
                </c:pt>
                <c:pt idx="4">
                  <c:v>127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43640448"/>
        <c:axId val="143641984"/>
        <c:axId val="0"/>
      </c:bar3DChart>
      <c:catAx>
        <c:axId val="143640448"/>
        <c:scaling>
          <c:orientation val="minMax"/>
        </c:scaling>
        <c:delete val="0"/>
        <c:axPos val="b"/>
        <c:majorTickMark val="out"/>
        <c:minorTickMark val="none"/>
        <c:tickLblPos val="nextTo"/>
        <c:crossAx val="143641984"/>
        <c:crosses val="autoZero"/>
        <c:auto val="1"/>
        <c:lblAlgn val="ctr"/>
        <c:lblOffset val="100"/>
        <c:noMultiLvlLbl val="0"/>
      </c:catAx>
      <c:valAx>
        <c:axId val="14364198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4364044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49F8CCDF.dotm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Universitetet i Oslo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Rodriguez Goyes</dc:creator>
  <cp:lastModifiedBy>David Rodriguez Goyes</cp:lastModifiedBy>
  <cp:revision>1</cp:revision>
  <dcterms:created xsi:type="dcterms:W3CDTF">2016-06-13T12:17:00Z</dcterms:created>
  <dcterms:modified xsi:type="dcterms:W3CDTF">2016-06-13T12:18:00Z</dcterms:modified>
</cp:coreProperties>
</file>